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  <w:rPr>
          <w:b/>
          <w:bCs/>
          <w:sz w:val="44"/>
          <w:szCs w:val="44"/>
        </w:rPr>
      </w:pPr>
      <w:bookmarkStart w:id="0" w:name="_Toc12810"/>
      <w:r>
        <w:rPr>
          <w:rFonts w:hint="eastAsia"/>
          <w:b/>
          <w:bCs/>
          <w:sz w:val="44"/>
          <w:szCs w:val="44"/>
        </w:rPr>
        <w:t>学法考试平台系统</w:t>
      </w:r>
    </w:p>
    <w:p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学习平台操作手册</w:t>
      </w:r>
      <w:bookmarkEnd w:id="0"/>
    </w:p>
    <w:p>
      <w:pPr>
        <w:pStyle w:val="20"/>
        <w:jc w:val="center"/>
      </w:pPr>
      <w:r>
        <w:rPr>
          <w:sz w:val="30"/>
          <w:szCs w:val="30"/>
          <w:lang w:val="zh-CN"/>
        </w:rPr>
        <w:t>目录</w:t>
      </w:r>
    </w:p>
    <w:p>
      <w:pPr>
        <w:pStyle w:val="12"/>
        <w:tabs>
          <w:tab w:val="right" w:leader="dot" w:pos="8306"/>
        </w:tabs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TOC \o "1-3" \h \z \u </w:instrText>
      </w:r>
      <w:r>
        <w:rPr>
          <w:sz w:val="28"/>
          <w:szCs w:val="28"/>
        </w:rPr>
        <w:fldChar w:fldCharType="separate"/>
      </w:r>
      <w:r>
        <w:fldChar w:fldCharType="begin"/>
      </w:r>
      <w:r>
        <w:instrText xml:space="preserve">HYPERLINK  \l "_Toc13573" </w:instrText>
      </w:r>
      <w:r>
        <w:fldChar w:fldCharType="separate"/>
      </w:r>
      <w:r>
        <w:rPr>
          <w:rFonts w:hint="eastAsia"/>
          <w:szCs w:val="32"/>
        </w:rPr>
        <w:t>一、登录</w:t>
      </w:r>
      <w:r>
        <w:tab/>
      </w:r>
      <w:r>
        <w:fldChar w:fldCharType="begin"/>
      </w:r>
      <w:r>
        <w:instrText xml:space="preserve"> PAGEREF _Toc13573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HYPERLINK  \l "_Toc10160" </w:instrText>
      </w:r>
      <w:r>
        <w:fldChar w:fldCharType="separate"/>
      </w:r>
      <w:r>
        <w:rPr>
          <w:rFonts w:hint="eastAsia"/>
        </w:rPr>
        <w:t>1、登录</w:t>
      </w:r>
      <w:r>
        <w:tab/>
      </w:r>
      <w:r>
        <w:fldChar w:fldCharType="begin"/>
      </w:r>
      <w:r>
        <w:instrText xml:space="preserve"> PAGEREF _Toc10160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HYPERLINK  \l "_Toc7261" </w:instrText>
      </w:r>
      <w:r>
        <w:fldChar w:fldCharType="separate"/>
      </w:r>
      <w:r>
        <w:rPr>
          <w:rFonts w:hint="eastAsia"/>
        </w:rPr>
        <w:t>2、主页面</w:t>
      </w:r>
      <w:r>
        <w:tab/>
      </w:r>
      <w:r>
        <w:fldChar w:fldCharType="begin"/>
      </w:r>
      <w:r>
        <w:instrText xml:space="preserve"> PAGEREF _Toc7261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HYPERLINK  \l "_Toc8188" </w:instrText>
      </w:r>
      <w:r>
        <w:fldChar w:fldCharType="separate"/>
      </w:r>
      <w:r>
        <w:rPr>
          <w:rFonts w:hint="eastAsia"/>
          <w:szCs w:val="32"/>
        </w:rPr>
        <w:t>二、年度学法</w:t>
      </w:r>
      <w:r>
        <w:tab/>
      </w:r>
      <w:r>
        <w:fldChar w:fldCharType="begin"/>
      </w:r>
      <w:r>
        <w:instrText xml:space="preserve"> PAGEREF _Toc8188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HYPERLINK  \l "_Toc22814" </w:instrText>
      </w:r>
      <w:r>
        <w:fldChar w:fldCharType="separate"/>
      </w:r>
      <w:r>
        <w:rPr>
          <w:rFonts w:hint="eastAsia"/>
          <w:szCs w:val="32"/>
        </w:rPr>
        <w:t>三、所有课程</w:t>
      </w:r>
      <w:r>
        <w:tab/>
      </w:r>
      <w:r>
        <w:fldChar w:fldCharType="begin"/>
      </w:r>
      <w:r>
        <w:instrText xml:space="preserve"> PAGEREF _Toc22814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HYPERLINK  \l "_Toc26344" </w:instrText>
      </w:r>
      <w:r>
        <w:fldChar w:fldCharType="separate"/>
      </w:r>
      <w:r>
        <w:rPr>
          <w:rFonts w:hint="eastAsia"/>
        </w:rPr>
        <w:t>1、所有课程</w:t>
      </w:r>
      <w:r>
        <w:tab/>
      </w:r>
      <w:r>
        <w:fldChar w:fldCharType="begin"/>
      </w:r>
      <w:r>
        <w:instrText xml:space="preserve"> PAGEREF _Toc26344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7"/>
        <w:tabs>
          <w:tab w:val="right" w:leader="dot" w:pos="8306"/>
        </w:tabs>
      </w:pPr>
      <w:r>
        <w:fldChar w:fldCharType="begin"/>
      </w:r>
      <w:r>
        <w:instrText xml:space="preserve">HYPERLINK  \l "_Toc16999" </w:instrText>
      </w:r>
      <w:r>
        <w:fldChar w:fldCharType="separate"/>
      </w:r>
      <w:r>
        <w:rPr>
          <w:rFonts w:hint="eastAsia"/>
          <w:szCs w:val="22"/>
        </w:rPr>
        <w:t>2、必修课程</w:t>
      </w:r>
      <w:r>
        <w:tab/>
      </w:r>
      <w:r>
        <w:fldChar w:fldCharType="begin"/>
      </w:r>
      <w:r>
        <w:instrText xml:space="preserve"> PAGEREF _Toc16999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HYPERLINK  \l "_Toc20487" </w:instrText>
      </w:r>
      <w:r>
        <w:fldChar w:fldCharType="separate"/>
      </w:r>
      <w:r>
        <w:rPr>
          <w:rFonts w:hint="eastAsia"/>
          <w:szCs w:val="32"/>
        </w:rPr>
        <w:t>四、日常测验</w:t>
      </w:r>
      <w:r>
        <w:tab/>
      </w:r>
      <w:r>
        <w:fldChar w:fldCharType="begin"/>
      </w:r>
      <w:r>
        <w:instrText xml:space="preserve"> PAGEREF _Toc20487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HYPERLINK  \l "_Toc31424" </w:instrText>
      </w:r>
      <w:r>
        <w:fldChar w:fldCharType="separate"/>
      </w:r>
      <w:r>
        <w:rPr>
          <w:rFonts w:hint="eastAsia"/>
          <w:szCs w:val="32"/>
        </w:rPr>
        <w:t>五、年度考试</w:t>
      </w:r>
      <w:r>
        <w:tab/>
      </w:r>
      <w:r>
        <w:fldChar w:fldCharType="begin"/>
      </w:r>
      <w:r>
        <w:instrText xml:space="preserve"> PAGEREF _Toc31424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HYPERLINK  \l "_Toc9203" </w:instrText>
      </w:r>
      <w:r>
        <w:fldChar w:fldCharType="separate"/>
      </w:r>
      <w:r>
        <w:rPr>
          <w:rFonts w:hint="eastAsia"/>
          <w:szCs w:val="32"/>
        </w:rPr>
        <w:t>六、统计信息</w:t>
      </w:r>
      <w:r>
        <w:tab/>
      </w:r>
      <w:r>
        <w:fldChar w:fldCharType="begin"/>
      </w:r>
      <w:r>
        <w:instrText xml:space="preserve"> PAGEREF _Toc9203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r>
        <w:rPr>
          <w:szCs w:val="28"/>
        </w:rPr>
        <w:fldChar w:fldCharType="end"/>
      </w:r>
    </w:p>
    <w:p/>
    <w:p>
      <w:pPr>
        <w:widowControl/>
        <w:jc w:val="left"/>
      </w:pPr>
      <w:r>
        <w:br w:type="page"/>
      </w:r>
    </w:p>
    <w:p/>
    <w:p>
      <w:pPr>
        <w:pStyle w:val="3"/>
        <w:rPr>
          <w:sz w:val="32"/>
          <w:szCs w:val="32"/>
        </w:rPr>
      </w:pPr>
      <w:bookmarkStart w:id="1" w:name="_Toc480638723"/>
      <w:bookmarkStart w:id="2" w:name="_Toc13573"/>
      <w:r>
        <w:rPr>
          <w:rFonts w:hint="eastAsia"/>
          <w:sz w:val="32"/>
          <w:szCs w:val="32"/>
        </w:rPr>
        <w:t>一、登录</w:t>
      </w:r>
      <w:bookmarkEnd w:id="1"/>
      <w:bookmarkEnd w:id="2"/>
    </w:p>
    <w:p>
      <w:pPr>
        <w:pStyle w:val="4"/>
      </w:pPr>
      <w:bookmarkStart w:id="3" w:name="_Toc480638724"/>
      <w:bookmarkStart w:id="4" w:name="_Toc10160"/>
      <w:r>
        <w:rPr>
          <w:rFonts w:hint="eastAsia"/>
        </w:rPr>
        <w:t>1、登录</w:t>
      </w:r>
      <w:bookmarkEnd w:id="3"/>
      <w:bookmarkEnd w:id="4"/>
    </w:p>
    <w:p>
      <w:pPr>
        <w:ind w:firstLine="420"/>
      </w:pPr>
      <w:r>
        <w:rPr>
          <w:rFonts w:hint="eastAsia"/>
        </w:rPr>
        <w:t>打开平台</w:t>
      </w:r>
      <w:r>
        <w:rPr>
          <w:rFonts w:hint="eastAsia"/>
          <w:lang w:eastAsia="zh-CN"/>
        </w:rPr>
        <w:t>登录</w:t>
      </w:r>
      <w:r>
        <w:rPr>
          <w:rFonts w:hint="eastAsia"/>
        </w:rPr>
        <w:t>页面，输入手机号、密码、验证码，点击登录，进入平台。如下图：</w:t>
      </w:r>
    </w:p>
    <w:p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图片 1" o:spid="_x0000_s1026" type="#_x0000_t75" style="height:282.6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rPr>
          <w:rFonts w:hint="eastAsia"/>
        </w:rPr>
        <w:t>账号登录测试用例：</w:t>
      </w:r>
    </w:p>
    <w:tbl>
      <w:tblPr>
        <w:tblStyle w:val="16"/>
        <w:tblW w:w="8264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32"/>
        <w:gridCol w:w="2841"/>
        <w:gridCol w:w="26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32" w:type="dxa"/>
            <w:vAlign w:val="top"/>
          </w:tcPr>
          <w:p>
            <w:r>
              <w:rPr>
                <w:rFonts w:hint="eastAsia"/>
              </w:rPr>
              <w:t>文字说明</w:t>
            </w:r>
          </w:p>
        </w:tc>
        <w:tc>
          <w:tcPr>
            <w:tcW w:w="2841" w:type="dxa"/>
            <w:vAlign w:val="top"/>
          </w:tcPr>
          <w:p>
            <w:r>
              <w:rPr>
                <w:rFonts w:hint="eastAsia"/>
              </w:rPr>
              <w:t>填入内容</w:t>
            </w:r>
          </w:p>
        </w:tc>
        <w:tc>
          <w:tcPr>
            <w:tcW w:w="2691" w:type="dxa"/>
            <w:vAlign w:val="top"/>
          </w:tcPr>
          <w:p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32" w:type="dxa"/>
            <w:vAlign w:val="top"/>
          </w:tcPr>
          <w:p>
            <w:r>
              <w:rPr>
                <w:rFonts w:hint="eastAsia"/>
              </w:rPr>
              <w:t>用户名</w:t>
            </w:r>
          </w:p>
        </w:tc>
        <w:tc>
          <w:tcPr>
            <w:tcW w:w="2841" w:type="dxa"/>
            <w:vAlign w:val="top"/>
          </w:tcPr>
          <w:p>
            <w:r>
              <w:rPr>
                <w:rFonts w:hint="eastAsia"/>
                <w:lang w:eastAsia="zh-CN"/>
              </w:rPr>
              <w:t>学员</w:t>
            </w:r>
            <w:r>
              <w:rPr>
                <w:rFonts w:hint="eastAsia"/>
              </w:rPr>
              <w:t>小张</w:t>
            </w:r>
            <w:r>
              <w:rPr>
                <w:rFonts w:hint="eastAsia"/>
                <w:lang w:eastAsia="zh-CN"/>
              </w:rPr>
              <w:t>的手机</w:t>
            </w:r>
          </w:p>
        </w:tc>
        <w:tc>
          <w:tcPr>
            <w:tcW w:w="2691" w:type="dxa"/>
            <w:vAlign w:val="top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32" w:type="dxa"/>
            <w:vAlign w:val="top"/>
          </w:tcPr>
          <w:p>
            <w:r>
              <w:rPr>
                <w:rFonts w:hint="eastAsia"/>
              </w:rPr>
              <w:t>密码</w:t>
            </w:r>
          </w:p>
        </w:tc>
        <w:tc>
          <w:tcPr>
            <w:tcW w:w="2841" w:type="dxa"/>
            <w:vAlign w:val="top"/>
          </w:tcPr>
          <w:p>
            <w:r>
              <w:rPr>
                <w:rFonts w:hint="eastAsia"/>
              </w:rPr>
              <w:t>填入密码</w:t>
            </w:r>
          </w:p>
        </w:tc>
        <w:tc>
          <w:tcPr>
            <w:tcW w:w="2691" w:type="dxa"/>
            <w:vAlign w:val="top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32" w:type="dxa"/>
            <w:vAlign w:val="top"/>
          </w:tcPr>
          <w:p>
            <w:r>
              <w:rPr>
                <w:rFonts w:hint="eastAsia"/>
              </w:rPr>
              <w:t>验证码</w:t>
            </w:r>
          </w:p>
        </w:tc>
        <w:tc>
          <w:tcPr>
            <w:tcW w:w="2841" w:type="dxa"/>
            <w:vAlign w:val="top"/>
          </w:tcPr>
          <w:p>
            <w:r>
              <w:rPr>
                <w:rFonts w:hint="eastAsia"/>
              </w:rPr>
              <w:t>填入右侧的验证码</w:t>
            </w:r>
          </w:p>
        </w:tc>
        <w:tc>
          <w:tcPr>
            <w:tcW w:w="2691" w:type="dxa"/>
            <w:vAlign w:val="top"/>
          </w:tcPr>
          <w:p/>
        </w:tc>
      </w:tr>
    </w:tbl>
    <w:p>
      <w:pPr>
        <w:pStyle w:val="4"/>
      </w:pPr>
      <w:bookmarkStart w:id="5" w:name="_Toc480638725"/>
      <w:bookmarkStart w:id="6" w:name="_Toc7261"/>
      <w:r>
        <w:rPr>
          <w:rFonts w:hint="eastAsia"/>
        </w:rPr>
        <w:t>2、主页面</w:t>
      </w:r>
      <w:bookmarkEnd w:id="5"/>
      <w:bookmarkEnd w:id="6"/>
    </w:p>
    <w:p>
      <w:pPr>
        <w:ind w:firstLine="420"/>
      </w:pPr>
      <w:r>
        <w:rPr>
          <w:rFonts w:hint="eastAsia"/>
          <w:lang w:eastAsia="zh-CN"/>
        </w:rPr>
        <w:t>登录</w:t>
      </w:r>
      <w:r>
        <w:rPr>
          <w:rFonts w:hint="eastAsia"/>
        </w:rPr>
        <w:t>成功，跳转到主页面。主页面右上角有三个图标按钮，分别是“系统通知”，“账户信息”，“退出登录”。其左边是“检索课件”，根据课程名称或章节名称检索课件。主页最左边的五个导航分别是 “年度学法”，即主页面按钮；“所有课程”即所有的课程读本；“日常测验”方便给学员进行测验自己的学法情况；“年度考试”让学员参加年度考试；“统计信息”统计出学员所有学法的统计情况。“最新通知”列表点击通知超链接进入查看该通知，同时能“查看更多”。“最新通知”的左边是“推荐阅读”列表，点击课件超链接进入课件的学习，同时也能“查看更多”。“推荐阅读”左边顶部是学员的信息，其下方是本年度的学习进度“学习进度”以及“考试安排”的列表。主页中间部分是本年度必修课程“年度重点课程”，必修课程进行了分类统计。如下图：</w:t>
      </w:r>
    </w:p>
    <w:p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图片 21" o:spid="_x0000_s1027" type="#_x0000_t75" style="height:263.8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/>
    <w:p>
      <w:pPr>
        <w:numPr>
          <w:ilvl w:val="0"/>
          <w:numId w:val="1"/>
        </w:numPr>
        <w:tabs>
          <w:tab w:val="left" w:pos="6999"/>
        </w:tabs>
        <w:ind w:firstLine="420"/>
        <w:outlineLvl w:val="3"/>
      </w:pPr>
      <w:r>
        <w:rPr>
          <w:rFonts w:hint="eastAsia"/>
        </w:rPr>
        <w:t>系统通知</w:t>
      </w:r>
      <w:r>
        <w:rPr>
          <w:rFonts w:hint="eastAsia"/>
        </w:rPr>
        <w:tab/>
      </w:r>
    </w:p>
    <w:p>
      <w:pPr>
        <w:ind w:firstLine="420"/>
      </w:pPr>
      <w:r>
        <w:rPr>
          <w:rFonts w:hint="eastAsia"/>
        </w:rPr>
        <w:t>在主页的“最新通知”能直接查看该通知。点击“最新通知”的查看更多或者点击主页右上角的“系统通知”进入通知列表。如下图：</w:t>
      </w:r>
    </w:p>
    <w:p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图片 16" o:spid="_x0000_s1028" type="#_x0000_t75" style="height:77.1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20"/>
      </w:pPr>
      <w:r>
        <w:rPr>
          <w:rFonts w:hint="eastAsia"/>
        </w:rPr>
        <w:t>点击通知名上的超链接能查看该通知</w:t>
      </w:r>
    </w:p>
    <w:p/>
    <w:p>
      <w:pPr>
        <w:numPr>
          <w:ilvl w:val="0"/>
          <w:numId w:val="1"/>
        </w:numPr>
        <w:ind w:firstLine="420"/>
        <w:outlineLvl w:val="3"/>
      </w:pPr>
      <w:r>
        <w:rPr>
          <w:rFonts w:hint="eastAsia"/>
        </w:rPr>
        <w:t>账户信息</w:t>
      </w:r>
    </w:p>
    <w:p>
      <w:pPr>
        <w:ind w:firstLine="420"/>
        <w:rPr>
          <w:rFonts w:hint="eastAsia"/>
        </w:rPr>
      </w:pPr>
      <w:r>
        <w:rPr>
          <w:rFonts w:hint="eastAsia"/>
        </w:rPr>
        <w:t>账户信息下有“修改个人信息”，“已收藏读本”，“学习记录”，“测验记录”以及“考试记录”五个管理功能：</w:t>
      </w:r>
    </w:p>
    <w:p>
      <w:pPr>
        <w:numPr>
          <w:ilvl w:val="0"/>
          <w:numId w:val="2"/>
        </w:numPr>
        <w:ind w:firstLine="420"/>
      </w:pPr>
      <w:r>
        <w:rPr>
          <w:rFonts w:hint="eastAsia"/>
        </w:rPr>
        <w:t>修改个人信息</w:t>
      </w:r>
    </w:p>
    <w:p>
      <w:r>
        <w:rPr>
          <w:rFonts w:hint="eastAsia"/>
        </w:rPr>
        <w:t>修改好个人信息，点击提交按钮。修改成功，结果如下图：</w:t>
      </w:r>
    </w:p>
    <w:p>
      <w:pPr>
        <w:rPr>
          <w:rFonts w:hint="eastAsia"/>
        </w:rPr>
      </w:pP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图片 20" o:spid="_x0000_s1029" type="#_x0000_t75" style="height:123.1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2"/>
        </w:numPr>
        <w:ind w:firstLine="420"/>
      </w:pPr>
      <w:r>
        <w:rPr>
          <w:rFonts w:hint="eastAsia"/>
        </w:rPr>
        <w:t>修改密码</w:t>
      </w:r>
    </w:p>
    <w:p>
      <w:r>
        <w:rPr>
          <w:rFonts w:hint="eastAsia"/>
        </w:rPr>
        <w:t>修改个人登录密码，如下图：</w:t>
      </w:r>
    </w:p>
    <w:p>
      <w:pPr>
        <w:rPr>
          <w:rFonts w:hint="eastAsia"/>
        </w:rPr>
      </w:pPr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图片 22" o:spid="_x0000_s1030" type="#_x0000_t75" style="height:104.2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2"/>
        </w:numPr>
        <w:ind w:firstLine="420"/>
      </w:pPr>
      <w:r>
        <w:rPr>
          <w:rFonts w:hint="eastAsia"/>
        </w:rPr>
        <w:t>已收藏读本</w:t>
      </w:r>
    </w:p>
    <w:p>
      <w:r>
        <w:rPr>
          <w:rFonts w:hint="eastAsia"/>
        </w:rPr>
        <w:t>点击“已收藏读本”可以查看自己收藏的读本，点击查看进行读本的学习。如下图：</w:t>
      </w:r>
    </w:p>
    <w:p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图片 23" o:spid="_x0000_s1031" type="#_x0000_t75" style="height:127.5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2"/>
        </w:numPr>
        <w:ind w:firstLine="420"/>
      </w:pPr>
      <w:r>
        <w:rPr>
          <w:rFonts w:hint="eastAsia"/>
        </w:rPr>
        <w:t>学习记录</w:t>
      </w:r>
    </w:p>
    <w:p>
      <w:r>
        <w:rPr>
          <w:rFonts w:hint="eastAsia"/>
        </w:rPr>
        <w:t>点击“学习记录”本年度的学习记录信息。如下图：</w:t>
      </w:r>
    </w:p>
    <w:p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图片 24" o:spid="_x0000_s1032" type="#_x0000_t75" style="height:206.2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2"/>
        </w:numPr>
        <w:ind w:firstLine="420"/>
      </w:pPr>
      <w:r>
        <w:rPr>
          <w:rFonts w:hint="eastAsia"/>
        </w:rPr>
        <w:t>测验记录</w:t>
      </w:r>
    </w:p>
    <w:p>
      <w:r>
        <w:rPr>
          <w:rFonts w:hint="eastAsia"/>
        </w:rPr>
        <w:t>点击“测验记录”查看本年度测验记录。如下图：</w:t>
      </w:r>
    </w:p>
    <w:p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图片 39" o:spid="_x0000_s1033" type="#_x0000_t75" style="height:94.3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2"/>
        </w:numPr>
        <w:ind w:firstLine="420"/>
      </w:pPr>
      <w:r>
        <w:rPr>
          <w:rFonts w:hint="eastAsia"/>
        </w:rPr>
        <w:t>考试记录</w:t>
      </w:r>
    </w:p>
    <w:p>
      <w:r>
        <w:rPr>
          <w:rFonts w:hint="eastAsia"/>
        </w:rPr>
        <w:t>点击“考试记录”查看本年度考试记录。如下图：</w:t>
      </w:r>
    </w:p>
    <w:p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图片 44" o:spid="_x0000_s1034" type="#_x0000_t75" style="height:89.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ilvl w:val="0"/>
          <w:numId w:val="1"/>
        </w:numPr>
        <w:ind w:firstLine="420"/>
        <w:outlineLvl w:val="3"/>
      </w:pPr>
      <w:r>
        <w:rPr>
          <w:rFonts w:hint="eastAsia"/>
        </w:rPr>
        <w:t>退出登录</w:t>
      </w:r>
    </w:p>
    <w:p>
      <w:pPr>
        <w:ind w:firstLine="420"/>
        <w:outlineLvl w:val="3"/>
      </w:pPr>
      <w:r>
        <w:rPr>
          <w:rFonts w:hint="eastAsia"/>
        </w:rPr>
        <w:t>点击“退出登录”按钮，如下图：</w:t>
      </w:r>
    </w:p>
    <w:p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图片 51" o:spid="_x0000_s1035" type="#_x0000_t75" style="height:89.1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20"/>
      </w:pPr>
      <w:r>
        <w:rPr>
          <w:rFonts w:hint="eastAsia"/>
        </w:rPr>
        <w:t>退出成功，回到登录页面。如下图：</w:t>
      </w:r>
    </w:p>
    <w:p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图片 53" o:spid="_x0000_s1036" type="#_x0000_t75" style="height:335.1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rPr>
          <w:sz w:val="32"/>
          <w:szCs w:val="32"/>
        </w:rPr>
      </w:pPr>
      <w:bookmarkStart w:id="7" w:name="_Toc480638726"/>
      <w:bookmarkStart w:id="8" w:name="_Toc8188"/>
      <w:r>
        <w:rPr>
          <w:rFonts w:hint="eastAsia"/>
          <w:sz w:val="32"/>
          <w:szCs w:val="32"/>
        </w:rPr>
        <w:t>二、年度学法</w:t>
      </w:r>
      <w:bookmarkEnd w:id="7"/>
      <w:bookmarkEnd w:id="8"/>
    </w:p>
    <w:p>
      <w:pPr>
        <w:pStyle w:val="19"/>
        <w:spacing w:line="220" w:lineRule="atLeast"/>
        <w:ind w:firstLine="0" w:firstLineChars="0"/>
        <w:jc w:val="left"/>
      </w:pPr>
      <w:r>
        <w:rPr>
          <w:rFonts w:hint="eastAsia"/>
        </w:rPr>
        <w:tab/>
      </w:r>
      <w:r>
        <w:rPr>
          <w:rFonts w:hint="eastAsia"/>
        </w:rPr>
        <w:t>点击导航菜单的 “年度学法”，即系统的主页面，其功能介绍如上主页面的介绍。这里我们特别介绍一下对课件的学习。进行课件的学习有很多方式，在“年度学法”导航中可以通过“推荐阅读”、“年度重点课程”或“所有收录”中点击进入学习。如下图：</w:t>
      </w:r>
    </w:p>
    <w:p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图片 54" o:spid="_x0000_s1037" type="#_x0000_t75" style="height:310.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20"/>
      </w:pPr>
      <w:r>
        <w:rPr>
          <w:rFonts w:hint="eastAsia"/>
        </w:rPr>
        <w:t>选择课件，点击进入，可以看见课件的信息及其目录，同时可以进行收藏操作。在目录下的章节上我们可以看见已获得的学分，学习需要观看至少10秒。如下图：</w:t>
      </w:r>
    </w:p>
    <w:p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图片 55" o:spid="_x0000_s1038" type="#_x0000_t75" style="height:223.5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20"/>
        <w:rPr>
          <w:rFonts w:hint="eastAsia"/>
        </w:rPr>
      </w:pPr>
      <w:r>
        <w:rPr>
          <w:rFonts w:hint="eastAsia"/>
        </w:rPr>
        <w:t>点击目录下的章节进入学习，学习课件的内容。</w:t>
      </w:r>
    </w:p>
    <w:p>
      <w:pPr>
        <w:ind w:firstLine="420"/>
      </w:pPr>
      <w:r>
        <w:rPr>
          <w:rFonts w:hint="eastAsia"/>
        </w:rPr>
        <w:t>其中右下角圆圈位置是本章节的“学分”，灰色代表未获得，橙色代表已获得。点击“上一页”，“下一页”阅读读本内容，可以点击“字体图标”更换字体，当我们看完或者想换章节的时候，我们可以点击“返回目录”按钮返回目录。如下图：</w:t>
      </w:r>
    </w:p>
    <w:p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图片 57" o:spid="_x0000_s1039" type="#_x0000_t75" style="height:320.6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rPr>
          <w:sz w:val="32"/>
          <w:szCs w:val="32"/>
        </w:rPr>
      </w:pPr>
      <w:bookmarkStart w:id="9" w:name="_Toc22814"/>
      <w:r>
        <w:rPr>
          <w:rFonts w:hint="eastAsia"/>
          <w:sz w:val="32"/>
          <w:szCs w:val="32"/>
        </w:rPr>
        <w:t>三、</w:t>
      </w:r>
      <w:bookmarkEnd w:id="9"/>
      <w:r>
        <w:rPr>
          <w:rFonts w:hint="eastAsia"/>
          <w:sz w:val="32"/>
          <w:szCs w:val="32"/>
        </w:rPr>
        <w:t>所有课程</w:t>
      </w:r>
    </w:p>
    <w:p>
      <w:pPr>
        <w:ind w:firstLine="420"/>
      </w:pPr>
      <w:r>
        <w:rPr>
          <w:rFonts w:hint="eastAsia"/>
        </w:rPr>
        <w:t>点击导航菜单“所有课程”。其中有“所有课程”和“年度重点课程”两个功能。如下图：</w:t>
      </w:r>
    </w:p>
    <w:p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图片 58" o:spid="_x0000_s1040" type="#_x0000_t75" style="height:212.9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1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4"/>
        <w:ind w:firstLine="420"/>
      </w:pPr>
      <w:bookmarkStart w:id="10" w:name="_Toc26344"/>
      <w:r>
        <w:rPr>
          <w:rFonts w:hint="eastAsia"/>
        </w:rPr>
        <w:t>1、所有课程</w:t>
      </w:r>
      <w:bookmarkEnd w:id="10"/>
    </w:p>
    <w:p>
      <w:pPr>
        <w:ind w:firstLine="420"/>
      </w:pPr>
      <w:r>
        <w:rPr>
          <w:rFonts w:hint="eastAsia"/>
        </w:rPr>
        <w:t>按课程分类选中，点击筛选按钮查询所有课程（若不进行选中则查询全部）。还有“只看推荐”，点击选中则只查看推荐的普法读本。在此页面中还可以对读本进行收藏或查看。如下图：</w:t>
      </w:r>
    </w:p>
    <w:p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图片 59" o:spid="_x0000_s1041" type="#_x0000_t75" style="height:208.2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20"/>
      </w:pPr>
      <w:r>
        <w:rPr>
          <w:rFonts w:hint="eastAsia"/>
        </w:rPr>
        <w:t>点击查看，进入读本即可学习该读本。</w:t>
      </w:r>
    </w:p>
    <w:p/>
    <w:p>
      <w:pPr>
        <w:pStyle w:val="4"/>
        <w:ind w:firstLine="420"/>
        <w:rPr>
          <w:szCs w:val="22"/>
        </w:rPr>
      </w:pPr>
      <w:bookmarkStart w:id="11" w:name="_Toc16999"/>
      <w:r>
        <w:rPr>
          <w:rFonts w:hint="eastAsia"/>
          <w:szCs w:val="22"/>
        </w:rPr>
        <w:t>2、必修</w:t>
      </w:r>
      <w:bookmarkEnd w:id="11"/>
      <w:r>
        <w:rPr>
          <w:rFonts w:hint="eastAsia"/>
          <w:szCs w:val="22"/>
        </w:rPr>
        <w:t>课程</w:t>
      </w:r>
    </w:p>
    <w:p>
      <w:pPr>
        <w:ind w:firstLine="420"/>
      </w:pPr>
      <w:r>
        <w:rPr>
          <w:rFonts w:hint="eastAsia"/>
        </w:rPr>
        <w:t>点击年度重点课程，我们可以看到有课程名称，学习进度以及学习读本。如下图：</w:t>
      </w:r>
    </w:p>
    <w:p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图片 60" o:spid="_x0000_s1042" type="#_x0000_t75" style="height:146.3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20"/>
      </w:pPr>
      <w:r>
        <w:rPr>
          <w:rFonts w:hint="eastAsia"/>
        </w:rPr>
        <w:t>点击进行学习。</w:t>
      </w:r>
    </w:p>
    <w:p/>
    <w:p>
      <w:pPr>
        <w:pStyle w:val="3"/>
        <w:rPr>
          <w:sz w:val="32"/>
          <w:szCs w:val="32"/>
        </w:rPr>
      </w:pPr>
      <w:bookmarkStart w:id="12" w:name="_Toc480638727"/>
      <w:bookmarkStart w:id="13" w:name="_Toc20487"/>
      <w:r>
        <w:rPr>
          <w:rFonts w:hint="eastAsia"/>
          <w:sz w:val="32"/>
          <w:szCs w:val="32"/>
        </w:rPr>
        <w:t>四、日常测验</w:t>
      </w:r>
      <w:bookmarkEnd w:id="12"/>
      <w:bookmarkEnd w:id="13"/>
    </w:p>
    <w:p>
      <w:pPr>
        <w:ind w:firstLine="420"/>
      </w:pPr>
      <w:r>
        <w:rPr>
          <w:rFonts w:hint="eastAsia"/>
        </w:rPr>
        <w:t>点击导航菜单“日常测验”，进入日常测验，选择按课程分类进行筛选。如下图：</w:t>
      </w:r>
    </w:p>
    <w:p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图片 61" o:spid="_x0000_s1043" type="#_x0000_t75" style="height:200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20"/>
      </w:pPr>
      <w:r>
        <w:rPr>
          <w:rFonts w:hint="eastAsia"/>
        </w:rPr>
        <w:t>在“请选择抽题范围”中选择读本，点击下一步，选择题型。如下图：</w:t>
      </w:r>
    </w:p>
    <w:p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图片 62" o:spid="_x0000_s1044" type="#_x0000_t75" style="height:216.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20"/>
      </w:pPr>
      <w:r>
        <w:rPr>
          <w:rFonts w:hint="eastAsia"/>
        </w:rPr>
        <w:t>在“请选择题型组成”中选择题型组成，点击开始测验按钮进入日常测验。</w:t>
      </w:r>
    </w:p>
    <w:p>
      <w:pPr>
        <w:ind w:firstLine="420"/>
      </w:pPr>
      <w:r>
        <w:rPr>
          <w:rFonts w:hint="eastAsia"/>
        </w:rPr>
        <w:t>右上角的四个图标按钮分别是网络延迟，设置提醒，个人信息以及退出测验。网络延迟可以看见当前的网络流畅度，设置提醒可以提醒考生还有多少时间测验将结束。个人信息可以确认考生的信息，点击退出即可退出测验。“日常测验”下方是正在倒计时的剩余测验时间，总分以及答题的进度。如下图：</w:t>
      </w:r>
    </w:p>
    <w:p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图片 31" o:spid="_x0000_s1045" type="#_x0000_t75" style="height:312.2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4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20"/>
      </w:pPr>
      <w:r>
        <w:rPr>
          <w:rFonts w:hint="eastAsia"/>
        </w:rPr>
        <w:t>作答完成，点击交卷测验结束，测验倒计时停止，得出测验结果，可以查看到测验得分。如下图：</w:t>
      </w:r>
    </w:p>
    <w:p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图片 36" o:spid="_x0000_s1046" type="#_x0000_t75" style="height:341.3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20"/>
      </w:pPr>
      <w:r>
        <w:rPr>
          <w:rFonts w:hint="eastAsia"/>
        </w:rPr>
        <w:t>点击确定，即可查看正确答案。如下图：</w:t>
      </w:r>
    </w:p>
    <w:p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图片 38" o:spid="_x0000_s1047" type="#_x0000_t75" style="height:322.8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rPr>
          <w:sz w:val="32"/>
          <w:szCs w:val="32"/>
        </w:rPr>
      </w:pPr>
      <w:bookmarkStart w:id="14" w:name="_Toc480638728"/>
      <w:bookmarkStart w:id="15" w:name="_Toc31424"/>
      <w:r>
        <w:rPr>
          <w:rFonts w:hint="eastAsia"/>
          <w:sz w:val="32"/>
          <w:szCs w:val="32"/>
        </w:rPr>
        <w:t>五、年度考试</w:t>
      </w:r>
      <w:bookmarkEnd w:id="14"/>
      <w:bookmarkEnd w:id="15"/>
    </w:p>
    <w:p>
      <w:pPr>
        <w:ind w:firstLine="420"/>
      </w:pPr>
      <w:r>
        <w:rPr>
          <w:rFonts w:hint="eastAsia"/>
        </w:rPr>
        <w:t>点击导航菜单“年度考试”。可以查看本年度考试信息，其中左上角的“参加考试注意事项”，右侧有“最近考试得分”的记录，最下方的“近期考试安排”，在“近期考试安排”中显示了最近的考试安排。如下图：</w:t>
      </w:r>
    </w:p>
    <w:p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图片 63" o:spid="_x0000_s1048" type="#_x0000_t75" style="height:244.2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20"/>
      </w:pPr>
      <w:r>
        <w:rPr>
          <w:rFonts w:hint="eastAsia"/>
        </w:rPr>
        <w:t>“正在进行，点击进入考场”点击进入考场，但如果没有完成本年度的必修课程，必须完成才能进入考试。</w:t>
      </w:r>
    </w:p>
    <w:p/>
    <w:p>
      <w:pPr>
        <w:ind w:firstLine="420"/>
      </w:pPr>
      <w:r>
        <w:rPr>
          <w:rFonts w:hint="eastAsia"/>
        </w:rPr>
        <w:t>学习完必修课程，点击进入考试。其操作界面同日常测验界面一样，多一个保存答案功能，保存答案后刷新页面已做的题目仍然保存答案。如下图：</w:t>
      </w:r>
    </w:p>
    <w:p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图片 65" o:spid="_x0000_s1049" type="#_x0000_t75" style="height:310.7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20"/>
      </w:pPr>
      <w:r>
        <w:rPr>
          <w:rFonts w:hint="eastAsia"/>
        </w:rPr>
        <w:t>作答完成，点击交卷完成考试，提示“确定交卷”。如下图：</w:t>
      </w:r>
    </w:p>
    <w:p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图片 66" o:spid="_x0000_s1050" type="#_x0000_t75" style="height:284.3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2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ind w:firstLine="420"/>
      </w:pPr>
      <w:r>
        <w:rPr>
          <w:rFonts w:hint="eastAsia"/>
        </w:rPr>
        <w:t>点击“年度考试”，在最近考试得分中，我们可以看到考试得分情况。已考试再次点击进入考试则提示“您已交卷”。如下图：</w:t>
      </w:r>
    </w:p>
    <w:p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图片 67" o:spid="_x0000_s1051" type="#_x0000_t75" style="height:251.3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3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3"/>
        <w:rPr>
          <w:sz w:val="32"/>
          <w:szCs w:val="32"/>
        </w:rPr>
      </w:pPr>
      <w:bookmarkStart w:id="16" w:name="_Toc480638729"/>
      <w:bookmarkStart w:id="17" w:name="_Toc9203"/>
      <w:r>
        <w:rPr>
          <w:rFonts w:hint="eastAsia"/>
          <w:sz w:val="32"/>
          <w:szCs w:val="32"/>
        </w:rPr>
        <w:t>六、统计信息</w:t>
      </w:r>
      <w:bookmarkEnd w:id="16"/>
      <w:bookmarkEnd w:id="17"/>
    </w:p>
    <w:p>
      <w:pPr>
        <w:ind w:firstLine="420"/>
      </w:pPr>
      <w:r>
        <w:rPr>
          <w:rFonts w:hint="eastAsia"/>
        </w:rPr>
        <w:t>点击导航菜单“统计信息”。可以看见左上角的“个人信息”，左下角的“我的学习记录”，中间部分的</w:t>
      </w:r>
      <w:bookmarkStart w:id="18" w:name="_GoBack"/>
      <w:bookmarkEnd w:id="18"/>
      <w:r>
        <w:rPr>
          <w:rFonts w:hint="eastAsia"/>
        </w:rPr>
        <w:t>“我的测验记录”以及右下角的“我的考试记录”。如下图：</w:t>
      </w:r>
    </w:p>
    <w:p>
      <w:r>
        <w:rPr>
          <w:rFonts w:ascii="Calibri" w:hAnsi="Calibri" w:eastAsia="宋体" w:cs="Times New Roman"/>
          <w:kern w:val="2"/>
          <w:sz w:val="21"/>
          <w:szCs w:val="24"/>
          <w:lang w:val="en-US" w:eastAsia="zh-CN" w:bidi="ar-SA"/>
        </w:rPr>
        <w:pict>
          <v:shape id="图片 64" o:spid="_x0000_s1052" type="#_x0000_t75" style="height:168.05pt;width:415.3pt;rotation:0f;" o:ole="f" fillcolor="#FFFFFF" filled="f" o:preferrelative="t" stroked="f" coordorigin="0,0" coordsize="21600,21600">
            <v:fill on="f" color2="#FFFFFF" focus="0%"/>
            <v:imagedata gain="65536f" blacklevel="0f" gamma="0" o:title="" r:id="rId31"/>
            <o:lock v:ext="edit" position="f" selection="f" grouping="f" rotation="f" cropping="f" text="f" aspectratio="t"/>
            <w10:wrap type="none"/>
            <w10:anchorlock/>
          </v:shape>
        </w:pi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Calibri Light">
    <w:altName w:val="Calibri"/>
    <w:panose1 w:val="020F0302020204030204"/>
    <w:charset w:val="00"/>
    <w:family w:val="auto"/>
    <w:pitch w:val="default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499656129">
    <w:nsid w:val="5962EFC1"/>
    <w:multiLevelType w:val="singleLevel"/>
    <w:tmpl w:val="5962EFC1"/>
    <w:lvl w:ilvl="0" w:tentative="1">
      <w:start w:val="1"/>
      <w:numFmt w:val="lowerLetter"/>
      <w:suff w:val="nothing"/>
      <w:lvlText w:val="%1、"/>
      <w:lvlJc w:val="left"/>
    </w:lvl>
  </w:abstractNum>
  <w:abstractNum w:abstractNumId="1499655127">
    <w:nsid w:val="5962EBD7"/>
    <w:multiLevelType w:val="singleLevel"/>
    <w:tmpl w:val="5962EBD7"/>
    <w:lvl w:ilvl="0" w:tentative="1">
      <w:start w:val="1"/>
      <w:numFmt w:val="decimal"/>
      <w:suff w:val="nothing"/>
      <w:lvlText w:val="（%1）"/>
      <w:lvlJc w:val="left"/>
    </w:lvl>
  </w:abstractNum>
  <w:num w:numId="1">
    <w:abstractNumId w:val="1499655127"/>
  </w:num>
  <w:num w:numId="2">
    <w:abstractNumId w:val="14996561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AB83DAB"/>
    <w:rsid w:val="0000059F"/>
    <w:rsid w:val="00002D66"/>
    <w:rsid w:val="00021B27"/>
    <w:rsid w:val="001A6044"/>
    <w:rsid w:val="001C27AE"/>
    <w:rsid w:val="0022245B"/>
    <w:rsid w:val="002C4965"/>
    <w:rsid w:val="002F0BB3"/>
    <w:rsid w:val="003466B2"/>
    <w:rsid w:val="00375222"/>
    <w:rsid w:val="00376884"/>
    <w:rsid w:val="003C08D9"/>
    <w:rsid w:val="004C2A7D"/>
    <w:rsid w:val="004C4514"/>
    <w:rsid w:val="00527118"/>
    <w:rsid w:val="00587CFE"/>
    <w:rsid w:val="005C1184"/>
    <w:rsid w:val="006120F9"/>
    <w:rsid w:val="0064535A"/>
    <w:rsid w:val="006B4A39"/>
    <w:rsid w:val="006C7B23"/>
    <w:rsid w:val="006E4373"/>
    <w:rsid w:val="00702202"/>
    <w:rsid w:val="0090731A"/>
    <w:rsid w:val="009262FE"/>
    <w:rsid w:val="00A265F8"/>
    <w:rsid w:val="00A6437E"/>
    <w:rsid w:val="00A82125"/>
    <w:rsid w:val="00AB177F"/>
    <w:rsid w:val="00AF14E1"/>
    <w:rsid w:val="00BC71F0"/>
    <w:rsid w:val="00C84150"/>
    <w:rsid w:val="00C9258B"/>
    <w:rsid w:val="00D72D76"/>
    <w:rsid w:val="00E572A4"/>
    <w:rsid w:val="00EE2210"/>
    <w:rsid w:val="00F20BEA"/>
    <w:rsid w:val="00FB3BFB"/>
    <w:rsid w:val="00FC4A06"/>
    <w:rsid w:val="01390222"/>
    <w:rsid w:val="015E3CA2"/>
    <w:rsid w:val="01750585"/>
    <w:rsid w:val="01CC736F"/>
    <w:rsid w:val="023130D0"/>
    <w:rsid w:val="025F4199"/>
    <w:rsid w:val="02667F3A"/>
    <w:rsid w:val="02780C12"/>
    <w:rsid w:val="029F18E1"/>
    <w:rsid w:val="02A32DFB"/>
    <w:rsid w:val="02CC5D74"/>
    <w:rsid w:val="02DA6FE7"/>
    <w:rsid w:val="03036C98"/>
    <w:rsid w:val="03170F4C"/>
    <w:rsid w:val="033036AC"/>
    <w:rsid w:val="03761877"/>
    <w:rsid w:val="038E58B1"/>
    <w:rsid w:val="03F522D6"/>
    <w:rsid w:val="03F96096"/>
    <w:rsid w:val="042428EA"/>
    <w:rsid w:val="042A1115"/>
    <w:rsid w:val="04807311"/>
    <w:rsid w:val="048B7DD8"/>
    <w:rsid w:val="049F4A25"/>
    <w:rsid w:val="059826E6"/>
    <w:rsid w:val="05D51414"/>
    <w:rsid w:val="05E03A5D"/>
    <w:rsid w:val="06021FCE"/>
    <w:rsid w:val="06866F20"/>
    <w:rsid w:val="06F9785B"/>
    <w:rsid w:val="070B77CF"/>
    <w:rsid w:val="07484842"/>
    <w:rsid w:val="07F72E8A"/>
    <w:rsid w:val="0821782D"/>
    <w:rsid w:val="086D1277"/>
    <w:rsid w:val="092D1886"/>
    <w:rsid w:val="09750F9E"/>
    <w:rsid w:val="0976203A"/>
    <w:rsid w:val="097F5A1B"/>
    <w:rsid w:val="09816041"/>
    <w:rsid w:val="098961A8"/>
    <w:rsid w:val="09DA6A8E"/>
    <w:rsid w:val="0A034610"/>
    <w:rsid w:val="0A254574"/>
    <w:rsid w:val="0A3326FE"/>
    <w:rsid w:val="0AB83DAB"/>
    <w:rsid w:val="0B2358D8"/>
    <w:rsid w:val="0BAD453D"/>
    <w:rsid w:val="0BEA6888"/>
    <w:rsid w:val="0BFB0B6E"/>
    <w:rsid w:val="0C1E2C04"/>
    <w:rsid w:val="0C593786"/>
    <w:rsid w:val="0C9C7F93"/>
    <w:rsid w:val="0CC26C34"/>
    <w:rsid w:val="0D64097C"/>
    <w:rsid w:val="0D880912"/>
    <w:rsid w:val="0DC15552"/>
    <w:rsid w:val="0DCA418D"/>
    <w:rsid w:val="0E265B96"/>
    <w:rsid w:val="0F0766AB"/>
    <w:rsid w:val="0F181334"/>
    <w:rsid w:val="0F2D6BB1"/>
    <w:rsid w:val="0F3A6106"/>
    <w:rsid w:val="0F413173"/>
    <w:rsid w:val="0F4E5D58"/>
    <w:rsid w:val="0F615555"/>
    <w:rsid w:val="0F7435BF"/>
    <w:rsid w:val="10162F56"/>
    <w:rsid w:val="11032064"/>
    <w:rsid w:val="11AA25A1"/>
    <w:rsid w:val="123C1488"/>
    <w:rsid w:val="125712E0"/>
    <w:rsid w:val="12F1232F"/>
    <w:rsid w:val="13C0497A"/>
    <w:rsid w:val="13EA37B4"/>
    <w:rsid w:val="140D4B60"/>
    <w:rsid w:val="14472F72"/>
    <w:rsid w:val="149E4121"/>
    <w:rsid w:val="14F15666"/>
    <w:rsid w:val="152123E1"/>
    <w:rsid w:val="153D5B20"/>
    <w:rsid w:val="15477933"/>
    <w:rsid w:val="15D97E46"/>
    <w:rsid w:val="1659551C"/>
    <w:rsid w:val="16947E57"/>
    <w:rsid w:val="16D77668"/>
    <w:rsid w:val="16F56F59"/>
    <w:rsid w:val="172935B5"/>
    <w:rsid w:val="17CD7A85"/>
    <w:rsid w:val="17EF473F"/>
    <w:rsid w:val="183F192B"/>
    <w:rsid w:val="188635FD"/>
    <w:rsid w:val="19053BDD"/>
    <w:rsid w:val="19680FC7"/>
    <w:rsid w:val="19753928"/>
    <w:rsid w:val="1A061CCD"/>
    <w:rsid w:val="1A4C48CF"/>
    <w:rsid w:val="1B066801"/>
    <w:rsid w:val="1B161CC5"/>
    <w:rsid w:val="1B520B10"/>
    <w:rsid w:val="1BE274F4"/>
    <w:rsid w:val="1BF100D7"/>
    <w:rsid w:val="1C2B6FC1"/>
    <w:rsid w:val="1C834F0A"/>
    <w:rsid w:val="1DF96AEC"/>
    <w:rsid w:val="1E0F21E7"/>
    <w:rsid w:val="1E851693"/>
    <w:rsid w:val="1EAA342A"/>
    <w:rsid w:val="1EBB5058"/>
    <w:rsid w:val="1EE3274B"/>
    <w:rsid w:val="1EFC44D4"/>
    <w:rsid w:val="1F193C66"/>
    <w:rsid w:val="1F2E719D"/>
    <w:rsid w:val="1F343E29"/>
    <w:rsid w:val="1FF93615"/>
    <w:rsid w:val="205F42C9"/>
    <w:rsid w:val="20711DAD"/>
    <w:rsid w:val="20BF6111"/>
    <w:rsid w:val="20C91EC3"/>
    <w:rsid w:val="20D144EC"/>
    <w:rsid w:val="20E766E6"/>
    <w:rsid w:val="21083CB2"/>
    <w:rsid w:val="21166B3A"/>
    <w:rsid w:val="21557C69"/>
    <w:rsid w:val="224E39EA"/>
    <w:rsid w:val="23A033E3"/>
    <w:rsid w:val="24106331"/>
    <w:rsid w:val="242C5B3B"/>
    <w:rsid w:val="246A446D"/>
    <w:rsid w:val="24A40D41"/>
    <w:rsid w:val="24AF4C71"/>
    <w:rsid w:val="256C7DF1"/>
    <w:rsid w:val="258F4765"/>
    <w:rsid w:val="25CB2771"/>
    <w:rsid w:val="25DD24AC"/>
    <w:rsid w:val="26723400"/>
    <w:rsid w:val="268F0A2B"/>
    <w:rsid w:val="26B1601F"/>
    <w:rsid w:val="27694E92"/>
    <w:rsid w:val="27D80AD0"/>
    <w:rsid w:val="27FB4A8F"/>
    <w:rsid w:val="27FF0B9B"/>
    <w:rsid w:val="280D7A43"/>
    <w:rsid w:val="281E2D7A"/>
    <w:rsid w:val="28327DFF"/>
    <w:rsid w:val="284F663C"/>
    <w:rsid w:val="28A42F4A"/>
    <w:rsid w:val="28D02888"/>
    <w:rsid w:val="29315B5E"/>
    <w:rsid w:val="295B5FCC"/>
    <w:rsid w:val="29A567EC"/>
    <w:rsid w:val="29C81D8D"/>
    <w:rsid w:val="29D8432C"/>
    <w:rsid w:val="2A236138"/>
    <w:rsid w:val="2A973D5D"/>
    <w:rsid w:val="2AB54D35"/>
    <w:rsid w:val="2AD54AFE"/>
    <w:rsid w:val="2B05117A"/>
    <w:rsid w:val="2B072AC1"/>
    <w:rsid w:val="2B4A114D"/>
    <w:rsid w:val="2B5D7061"/>
    <w:rsid w:val="2BB80859"/>
    <w:rsid w:val="2C0265E5"/>
    <w:rsid w:val="2C6A0FE5"/>
    <w:rsid w:val="2C736D25"/>
    <w:rsid w:val="2C86731C"/>
    <w:rsid w:val="2CB46997"/>
    <w:rsid w:val="2CE02997"/>
    <w:rsid w:val="2D092E0D"/>
    <w:rsid w:val="2D3215AF"/>
    <w:rsid w:val="2D6131BC"/>
    <w:rsid w:val="2E14746E"/>
    <w:rsid w:val="2E746177"/>
    <w:rsid w:val="2E90348D"/>
    <w:rsid w:val="2E9F7BE5"/>
    <w:rsid w:val="2EA47CA9"/>
    <w:rsid w:val="2F077BD9"/>
    <w:rsid w:val="2F596ABC"/>
    <w:rsid w:val="2F782BF6"/>
    <w:rsid w:val="308A49F2"/>
    <w:rsid w:val="317B4DB6"/>
    <w:rsid w:val="328B1C2D"/>
    <w:rsid w:val="32B02422"/>
    <w:rsid w:val="332F12B1"/>
    <w:rsid w:val="339922F2"/>
    <w:rsid w:val="354A76A1"/>
    <w:rsid w:val="35D6601A"/>
    <w:rsid w:val="36286C94"/>
    <w:rsid w:val="36AA3EED"/>
    <w:rsid w:val="36CB5798"/>
    <w:rsid w:val="36D2716B"/>
    <w:rsid w:val="36E4401C"/>
    <w:rsid w:val="36F33502"/>
    <w:rsid w:val="37401C28"/>
    <w:rsid w:val="37633061"/>
    <w:rsid w:val="37803ED9"/>
    <w:rsid w:val="37A035F3"/>
    <w:rsid w:val="37AB2FF6"/>
    <w:rsid w:val="37ED7799"/>
    <w:rsid w:val="38191F6A"/>
    <w:rsid w:val="388545FC"/>
    <w:rsid w:val="38A80D20"/>
    <w:rsid w:val="39105727"/>
    <w:rsid w:val="3A033863"/>
    <w:rsid w:val="3A086330"/>
    <w:rsid w:val="3A98090F"/>
    <w:rsid w:val="3B2C785D"/>
    <w:rsid w:val="3B420E8C"/>
    <w:rsid w:val="3B9B6A22"/>
    <w:rsid w:val="3C474491"/>
    <w:rsid w:val="3C4E5FDA"/>
    <w:rsid w:val="3C5823B9"/>
    <w:rsid w:val="3C9F1438"/>
    <w:rsid w:val="3CA228D7"/>
    <w:rsid w:val="3D7C7C4C"/>
    <w:rsid w:val="3D9B1D3E"/>
    <w:rsid w:val="3DB761A8"/>
    <w:rsid w:val="3DE842F0"/>
    <w:rsid w:val="3E0E5F27"/>
    <w:rsid w:val="3E35671A"/>
    <w:rsid w:val="3EB638CD"/>
    <w:rsid w:val="3EC93B7F"/>
    <w:rsid w:val="3ED73590"/>
    <w:rsid w:val="3FCF3531"/>
    <w:rsid w:val="40217CA8"/>
    <w:rsid w:val="40AC49A2"/>
    <w:rsid w:val="41E22711"/>
    <w:rsid w:val="42044F02"/>
    <w:rsid w:val="422D1DD8"/>
    <w:rsid w:val="42717CA1"/>
    <w:rsid w:val="428A3519"/>
    <w:rsid w:val="42A510C9"/>
    <w:rsid w:val="42B940E7"/>
    <w:rsid w:val="43323C49"/>
    <w:rsid w:val="441D7A57"/>
    <w:rsid w:val="447208C2"/>
    <w:rsid w:val="44C627A6"/>
    <w:rsid w:val="45106BC6"/>
    <w:rsid w:val="45131E07"/>
    <w:rsid w:val="4525537A"/>
    <w:rsid w:val="455F745F"/>
    <w:rsid w:val="45750F11"/>
    <w:rsid w:val="4617611C"/>
    <w:rsid w:val="462F7855"/>
    <w:rsid w:val="46D44E24"/>
    <w:rsid w:val="46FB76A6"/>
    <w:rsid w:val="47930D34"/>
    <w:rsid w:val="47CE7A00"/>
    <w:rsid w:val="48605775"/>
    <w:rsid w:val="49514E7F"/>
    <w:rsid w:val="49560137"/>
    <w:rsid w:val="49664EB2"/>
    <w:rsid w:val="49A51143"/>
    <w:rsid w:val="49C55100"/>
    <w:rsid w:val="4A924B6F"/>
    <w:rsid w:val="4AC807FD"/>
    <w:rsid w:val="4B497303"/>
    <w:rsid w:val="4B963AE8"/>
    <w:rsid w:val="4BA61609"/>
    <w:rsid w:val="4BD56455"/>
    <w:rsid w:val="4C2B21F1"/>
    <w:rsid w:val="4C4C1E54"/>
    <w:rsid w:val="4C5224C6"/>
    <w:rsid w:val="4CCE7E73"/>
    <w:rsid w:val="4CE75C02"/>
    <w:rsid w:val="4D001326"/>
    <w:rsid w:val="4D412729"/>
    <w:rsid w:val="4D451361"/>
    <w:rsid w:val="4D663E00"/>
    <w:rsid w:val="4E233584"/>
    <w:rsid w:val="4E470C25"/>
    <w:rsid w:val="4E4A517A"/>
    <w:rsid w:val="4E87391A"/>
    <w:rsid w:val="4EA90D03"/>
    <w:rsid w:val="4EE64387"/>
    <w:rsid w:val="4F282E05"/>
    <w:rsid w:val="4F3448C5"/>
    <w:rsid w:val="4F9C081E"/>
    <w:rsid w:val="4FB97B9F"/>
    <w:rsid w:val="509245E0"/>
    <w:rsid w:val="51413877"/>
    <w:rsid w:val="5153612E"/>
    <w:rsid w:val="515E4BA1"/>
    <w:rsid w:val="516F5878"/>
    <w:rsid w:val="517E7530"/>
    <w:rsid w:val="51F17742"/>
    <w:rsid w:val="51F64F57"/>
    <w:rsid w:val="52611409"/>
    <w:rsid w:val="53504678"/>
    <w:rsid w:val="53937A33"/>
    <w:rsid w:val="53B75CF7"/>
    <w:rsid w:val="53C829AE"/>
    <w:rsid w:val="53D5084A"/>
    <w:rsid w:val="54195ED5"/>
    <w:rsid w:val="546A266A"/>
    <w:rsid w:val="55730395"/>
    <w:rsid w:val="558C311C"/>
    <w:rsid w:val="55A16D9B"/>
    <w:rsid w:val="55E46516"/>
    <w:rsid w:val="56A006B6"/>
    <w:rsid w:val="578137BF"/>
    <w:rsid w:val="57B313EB"/>
    <w:rsid w:val="57C02139"/>
    <w:rsid w:val="57D81C3D"/>
    <w:rsid w:val="58036348"/>
    <w:rsid w:val="581A2D86"/>
    <w:rsid w:val="581B3826"/>
    <w:rsid w:val="587352F2"/>
    <w:rsid w:val="58AE4AE3"/>
    <w:rsid w:val="58E45973"/>
    <w:rsid w:val="59A756A1"/>
    <w:rsid w:val="59B025E2"/>
    <w:rsid w:val="5A206F4B"/>
    <w:rsid w:val="5A6B6967"/>
    <w:rsid w:val="5B1F2DE5"/>
    <w:rsid w:val="5BB626CD"/>
    <w:rsid w:val="5C062C99"/>
    <w:rsid w:val="5C2656B3"/>
    <w:rsid w:val="5C346751"/>
    <w:rsid w:val="5C4948CA"/>
    <w:rsid w:val="5C805561"/>
    <w:rsid w:val="5C971F4E"/>
    <w:rsid w:val="5CF42CCC"/>
    <w:rsid w:val="5D0C2E39"/>
    <w:rsid w:val="5D611874"/>
    <w:rsid w:val="5DF16A97"/>
    <w:rsid w:val="5DFA3932"/>
    <w:rsid w:val="5E090DAB"/>
    <w:rsid w:val="5E1131DE"/>
    <w:rsid w:val="5E3424F6"/>
    <w:rsid w:val="5E4C64EA"/>
    <w:rsid w:val="5E9A376D"/>
    <w:rsid w:val="5F215FF4"/>
    <w:rsid w:val="5FD619DC"/>
    <w:rsid w:val="60155033"/>
    <w:rsid w:val="60685007"/>
    <w:rsid w:val="60774FF2"/>
    <w:rsid w:val="60934AD4"/>
    <w:rsid w:val="60AA165A"/>
    <w:rsid w:val="60C82BA5"/>
    <w:rsid w:val="60E71EE1"/>
    <w:rsid w:val="61A5644F"/>
    <w:rsid w:val="61AE3596"/>
    <w:rsid w:val="61DB0383"/>
    <w:rsid w:val="623C0649"/>
    <w:rsid w:val="6275591A"/>
    <w:rsid w:val="62B07287"/>
    <w:rsid w:val="62D85A21"/>
    <w:rsid w:val="633B129A"/>
    <w:rsid w:val="6389713A"/>
    <w:rsid w:val="63B96DE4"/>
    <w:rsid w:val="63D342F1"/>
    <w:rsid w:val="63E01C5E"/>
    <w:rsid w:val="63F825C5"/>
    <w:rsid w:val="642C37A2"/>
    <w:rsid w:val="642D295B"/>
    <w:rsid w:val="64C02705"/>
    <w:rsid w:val="64EA4192"/>
    <w:rsid w:val="64F353A9"/>
    <w:rsid w:val="64F80BA3"/>
    <w:rsid w:val="651E64A2"/>
    <w:rsid w:val="66144861"/>
    <w:rsid w:val="66414BC4"/>
    <w:rsid w:val="667F0068"/>
    <w:rsid w:val="66A94A88"/>
    <w:rsid w:val="66AF4C24"/>
    <w:rsid w:val="66CA36D6"/>
    <w:rsid w:val="66FB6B61"/>
    <w:rsid w:val="67453967"/>
    <w:rsid w:val="67495F94"/>
    <w:rsid w:val="682F510D"/>
    <w:rsid w:val="688E07F4"/>
    <w:rsid w:val="689E40AC"/>
    <w:rsid w:val="68B67D6D"/>
    <w:rsid w:val="68CC343D"/>
    <w:rsid w:val="68EE5F21"/>
    <w:rsid w:val="69266D26"/>
    <w:rsid w:val="692F5960"/>
    <w:rsid w:val="6A037AB2"/>
    <w:rsid w:val="6A095D12"/>
    <w:rsid w:val="6A4673ED"/>
    <w:rsid w:val="6A9D4F5B"/>
    <w:rsid w:val="6AF8049D"/>
    <w:rsid w:val="6BB55683"/>
    <w:rsid w:val="6BEB08AB"/>
    <w:rsid w:val="6C3A0C53"/>
    <w:rsid w:val="6C4850B5"/>
    <w:rsid w:val="6C726233"/>
    <w:rsid w:val="6D105E83"/>
    <w:rsid w:val="6D1F5470"/>
    <w:rsid w:val="6D3C6882"/>
    <w:rsid w:val="6D441111"/>
    <w:rsid w:val="6D4B4AFD"/>
    <w:rsid w:val="6D9E689E"/>
    <w:rsid w:val="6DA74CB7"/>
    <w:rsid w:val="6DDF7AF1"/>
    <w:rsid w:val="6E3670BB"/>
    <w:rsid w:val="6E934FD6"/>
    <w:rsid w:val="6EF5714F"/>
    <w:rsid w:val="6EFD7D5E"/>
    <w:rsid w:val="6F122AA3"/>
    <w:rsid w:val="6F141A8A"/>
    <w:rsid w:val="6F4A30C3"/>
    <w:rsid w:val="6F5C5B5D"/>
    <w:rsid w:val="6FBF473E"/>
    <w:rsid w:val="6FE83064"/>
    <w:rsid w:val="70075756"/>
    <w:rsid w:val="700C52E6"/>
    <w:rsid w:val="705A08CF"/>
    <w:rsid w:val="706101C5"/>
    <w:rsid w:val="70A92EB5"/>
    <w:rsid w:val="70BA58DD"/>
    <w:rsid w:val="70C02119"/>
    <w:rsid w:val="71031970"/>
    <w:rsid w:val="718575C1"/>
    <w:rsid w:val="71EE1535"/>
    <w:rsid w:val="72087E2D"/>
    <w:rsid w:val="725C4B8C"/>
    <w:rsid w:val="7283715A"/>
    <w:rsid w:val="7293058B"/>
    <w:rsid w:val="729E6E7D"/>
    <w:rsid w:val="72AE03E0"/>
    <w:rsid w:val="72BF0758"/>
    <w:rsid w:val="72CE7B1B"/>
    <w:rsid w:val="72D43EA8"/>
    <w:rsid w:val="733D10C3"/>
    <w:rsid w:val="738F737A"/>
    <w:rsid w:val="74041830"/>
    <w:rsid w:val="74D874DF"/>
    <w:rsid w:val="74FE164F"/>
    <w:rsid w:val="75531069"/>
    <w:rsid w:val="755F6B50"/>
    <w:rsid w:val="75F77D1D"/>
    <w:rsid w:val="766C4F1D"/>
    <w:rsid w:val="76F64F21"/>
    <w:rsid w:val="77907F56"/>
    <w:rsid w:val="77BD5F5E"/>
    <w:rsid w:val="77D970E9"/>
    <w:rsid w:val="7881558B"/>
    <w:rsid w:val="7947293D"/>
    <w:rsid w:val="79DE5865"/>
    <w:rsid w:val="7A9F1742"/>
    <w:rsid w:val="7B4A529A"/>
    <w:rsid w:val="7B9B0F12"/>
    <w:rsid w:val="7BB25BCD"/>
    <w:rsid w:val="7BCD1EE4"/>
    <w:rsid w:val="7C260134"/>
    <w:rsid w:val="7CA5588B"/>
    <w:rsid w:val="7CB15C69"/>
    <w:rsid w:val="7CEB7323"/>
    <w:rsid w:val="7E2775C2"/>
    <w:rsid w:val="7E422806"/>
    <w:rsid w:val="7E8D3FA1"/>
    <w:rsid w:val="7F111A69"/>
    <w:rsid w:val="7F5F5520"/>
    <w:rsid w:val="7F7E64DA"/>
    <w:rsid w:val="7FD23DB1"/>
  </w:rsids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0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宋体"/>
      <w:sz w:val="30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line="413" w:lineRule="auto"/>
      <w:outlineLvl w:val="2"/>
    </w:pPr>
    <w:rPr>
      <w:rFonts w:eastAsia="宋体"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line="372" w:lineRule="auto"/>
      <w:outlineLvl w:val="3"/>
    </w:pPr>
    <w:rPr>
      <w:rFonts w:ascii="Arial" w:hAnsi="Arial" w:eastAsia="宋体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line="372" w:lineRule="auto"/>
      <w:outlineLvl w:val="4"/>
    </w:pPr>
    <w:rPr>
      <w:b/>
      <w:sz w:val="28"/>
    </w:rPr>
  </w:style>
  <w:style w:type="character" w:default="1" w:styleId="13">
    <w:name w:val="Default Paragraph Font"/>
    <w:unhideWhenUsed/>
    <w:uiPriority w:val="1"/>
  </w:style>
  <w:style w:type="table" w:default="1" w:styleId="15">
    <w:name w:val="Normal Table"/>
    <w:unhideWhenUsed/>
    <w:uiPriority w:val="99"/>
    <w:tblPr>
      <w:tblStyle w:val="15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7">
    <w:name w:val="toc 3"/>
    <w:basedOn w:val="1"/>
    <w:next w:val="1"/>
    <w:qFormat/>
    <w:uiPriority w:val="39"/>
    <w:pPr>
      <w:ind w:left="840" w:leftChars="400"/>
    </w:pPr>
  </w:style>
  <w:style w:type="paragraph" w:styleId="8">
    <w:name w:val="Balloon Text"/>
    <w:basedOn w:val="1"/>
    <w:link w:val="21"/>
    <w:qFormat/>
    <w:uiPriority w:val="0"/>
    <w:rPr>
      <w:sz w:val="18"/>
      <w:szCs w:val="18"/>
    </w:rPr>
  </w:style>
  <w:style w:type="paragraph" w:styleId="9">
    <w:name w:val="footer"/>
    <w:basedOn w:val="1"/>
    <w:link w:val="2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qFormat/>
    <w:uiPriority w:val="0"/>
  </w:style>
  <w:style w:type="paragraph" w:styleId="12">
    <w:name w:val="toc 2"/>
    <w:basedOn w:val="1"/>
    <w:next w:val="1"/>
    <w:qFormat/>
    <w:uiPriority w:val="39"/>
    <w:pPr>
      <w:ind w:left="420" w:leftChars="200"/>
    </w:pPr>
  </w:style>
  <w:style w:type="character" w:styleId="14">
    <w:name w:val="Hyperlink"/>
    <w:basedOn w:val="13"/>
    <w:unhideWhenUsed/>
    <w:qFormat/>
    <w:uiPriority w:val="99"/>
    <w:rPr>
      <w:color w:val="0563C1"/>
      <w:u w:val="single"/>
    </w:rPr>
  </w:style>
  <w:style w:type="table" w:styleId="16">
    <w:name w:val="Table Grid"/>
    <w:basedOn w:val="15"/>
    <w:qFormat/>
    <w:uiPriority w:val="0"/>
    <w:pPr>
      <w:widowControl w:val="0"/>
      <w:jc w:val="both"/>
    </w:pPr>
    <w:tblPr>
      <w:tblStyle w:val="15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  <w:tcPr>
      <w:textDirection w:val="lrTb"/>
    </w:tcPr>
  </w:style>
  <w:style w:type="paragraph" w:customStyle="1" w:styleId="17">
    <w:name w:val="标题4"/>
    <w:basedOn w:val="1"/>
    <w:next w:val="5"/>
    <w:qFormat/>
    <w:uiPriority w:val="0"/>
  </w:style>
  <w:style w:type="paragraph" w:customStyle="1" w:styleId="18">
    <w:name w:val="标题5"/>
    <w:basedOn w:val="6"/>
    <w:qFormat/>
    <w:uiPriority w:val="0"/>
    <w:rPr>
      <w:b w:val="0"/>
      <w:sz w:val="21"/>
    </w:rPr>
  </w:style>
  <w:style w:type="paragraph" w:customStyle="1" w:styleId="19">
    <w:name w:val="列出段落1"/>
    <w:basedOn w:val="1"/>
    <w:qFormat/>
    <w:uiPriority w:val="34"/>
    <w:pPr>
      <w:ind w:firstLine="420" w:firstLineChars="200"/>
    </w:pPr>
  </w:style>
  <w:style w:type="paragraph" w:customStyle="1" w:styleId="20">
    <w:name w:val="TOC 标题1"/>
    <w:basedOn w:val="2"/>
    <w:next w:val="1"/>
    <w:unhideWhenUsed/>
    <w:qFormat/>
    <w:uiPriority w:val="39"/>
    <w:pPr>
      <w:widowControl/>
      <w:spacing w:before="480" w:line="276" w:lineRule="auto"/>
      <w:jc w:val="left"/>
      <w:outlineLvl w:val="9"/>
    </w:pPr>
    <w:rPr>
      <w:rFonts w:ascii="Calibri Light" w:hAnsi="Calibri Light" w:eastAsia="宋体"/>
      <w:bCs/>
      <w:color w:val="2D73B3"/>
      <w:kern w:val="0"/>
      <w:sz w:val="28"/>
      <w:szCs w:val="28"/>
    </w:rPr>
  </w:style>
  <w:style w:type="character" w:customStyle="1" w:styleId="21">
    <w:name w:val="批注框文本 字符"/>
    <w:basedOn w:val="13"/>
    <w:link w:val="8"/>
    <w:qFormat/>
    <w:uiPriority w:val="0"/>
    <w:rPr>
      <w:rFonts w:ascii="Calibri" w:hAnsi="Calibri" w:eastAsia="宋体"/>
      <w:kern w:val="2"/>
      <w:sz w:val="18"/>
      <w:szCs w:val="18"/>
    </w:rPr>
  </w:style>
  <w:style w:type="character" w:customStyle="1" w:styleId="22">
    <w:name w:val="页眉 字符"/>
    <w:basedOn w:val="13"/>
    <w:link w:val="10"/>
    <w:qFormat/>
    <w:uiPriority w:val="0"/>
    <w:rPr>
      <w:rFonts w:ascii="Calibri" w:hAnsi="Calibri" w:eastAsia="宋体"/>
      <w:kern w:val="2"/>
      <w:sz w:val="18"/>
      <w:szCs w:val="18"/>
    </w:rPr>
  </w:style>
  <w:style w:type="character" w:customStyle="1" w:styleId="23">
    <w:name w:val="页脚 字符"/>
    <w:basedOn w:val="13"/>
    <w:link w:val="9"/>
    <w:qFormat/>
    <w:uiPriority w:val="0"/>
    <w:rPr>
      <w:rFonts w:ascii="Calibri" w:hAnsi="Calibri"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settings" Target="settings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tyles" Target="style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407</Words>
  <Characters>2326</Characters>
  <Lines>19</Lines>
  <Paragraphs>5</Paragraphs>
  <TotalTime>0</TotalTime>
  <ScaleCrop>false</ScaleCrop>
  <LinksUpToDate>false</LinksUpToDate>
  <CharactersWithSpaces>0</CharactersWithSpaces>
  <Application>WPS Office 专业版_9.1.0.5012_F1E327BC-269C-435d-A152-05C5408002CA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2016-11-15T01:32:00Z</dcterms:created>
  <dc:creator>Administrator</dc:creator>
  <cp:lastModifiedBy>SFT</cp:lastModifiedBy>
  <dcterms:modified xsi:type="dcterms:W3CDTF">2019-07-22T03:49:35Z</dcterms:modified>
  <dc:title>学法考试平台系统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2052-9.1.0.5012</vt:lpwstr>
  </property>
</Properties>
</file>